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0E" w:rsidRDefault="0088190E" w:rsidP="00773D0B">
      <w:pPr>
        <w:pStyle w:val="firstline"/>
        <w:spacing w:before="0" w:beforeAutospacing="0" w:after="120" w:afterAutospacing="0"/>
        <w:jc w:val="both"/>
      </w:pPr>
    </w:p>
    <w:p w:rsidR="0088190E" w:rsidRPr="0088190E" w:rsidRDefault="0088190E" w:rsidP="00773D0B">
      <w:pPr>
        <w:pStyle w:val="firstline"/>
        <w:spacing w:before="0" w:beforeAutospacing="0" w:after="120" w:afterAutospacing="0"/>
        <w:jc w:val="both"/>
        <w:rPr>
          <w:b/>
        </w:rPr>
      </w:pPr>
      <w:r w:rsidRPr="0088190E">
        <w:rPr>
          <w:b/>
        </w:rPr>
        <w:t xml:space="preserve">                                           МЕТОДИКА ЗА ОЦЕНКА НА ОФЕРТИТЕ</w:t>
      </w:r>
    </w:p>
    <w:p w:rsidR="0088190E" w:rsidRDefault="0088190E" w:rsidP="00773D0B">
      <w:pPr>
        <w:pStyle w:val="firstline"/>
        <w:spacing w:before="0" w:beforeAutospacing="0" w:after="120" w:afterAutospacing="0"/>
        <w:jc w:val="both"/>
      </w:pPr>
    </w:p>
    <w:p w:rsidR="00773D0B" w:rsidRDefault="00773D0B" w:rsidP="00773D0B">
      <w:pPr>
        <w:pStyle w:val="firstline"/>
        <w:spacing w:before="0" w:beforeAutospacing="0" w:after="120" w:afterAutospacing="0"/>
        <w:jc w:val="both"/>
        <w:rPr>
          <w:b/>
          <w:lang w:val="en-US"/>
        </w:rPr>
      </w:pPr>
      <w:r>
        <w:t xml:space="preserve">Критерият за възлагане на поръчката е </w:t>
      </w:r>
      <w:bookmarkStart w:id="0" w:name="_GoBack"/>
      <w:bookmarkEnd w:id="0"/>
      <w:r>
        <w:rPr>
          <w:lang w:val="en-US"/>
        </w:rPr>
        <w:t>“</w:t>
      </w:r>
      <w:r>
        <w:t>Икономически най-изгодната оферта”</w:t>
      </w:r>
    </w:p>
    <w:p w:rsidR="00773D0B" w:rsidRDefault="00773D0B" w:rsidP="00773D0B">
      <w:pPr>
        <w:pStyle w:val="Style11"/>
        <w:widowControl/>
        <w:rPr>
          <w:rStyle w:val="FontStyle33"/>
        </w:rPr>
      </w:pPr>
      <w:r>
        <w:rPr>
          <w:rStyle w:val="FontStyle33"/>
        </w:rPr>
        <w:t>1. Начин на оценка на офертите</w:t>
      </w:r>
    </w:p>
    <w:p w:rsidR="00773D0B" w:rsidRDefault="00773D0B" w:rsidP="00773D0B">
      <w:pPr>
        <w:pStyle w:val="Style11"/>
        <w:widowControl/>
        <w:rPr>
          <w:rStyle w:val="FontStyle33"/>
        </w:rPr>
      </w:pPr>
      <w:r>
        <w:rPr>
          <w:rStyle w:val="FontStyle33"/>
        </w:rPr>
        <w:t xml:space="preserve">КО = ТО + ФО, където </w:t>
      </w:r>
    </w:p>
    <w:p w:rsidR="00773D0B" w:rsidRDefault="00773D0B" w:rsidP="00773D0B">
      <w:pPr>
        <w:pStyle w:val="Style12"/>
        <w:widowControl/>
        <w:numPr>
          <w:ilvl w:val="0"/>
          <w:numId w:val="1"/>
        </w:numPr>
        <w:tabs>
          <w:tab w:val="left" w:pos="540"/>
        </w:tabs>
        <w:spacing w:line="240" w:lineRule="auto"/>
        <w:ind w:left="0" w:firstLine="284"/>
        <w:rPr>
          <w:rStyle w:val="FontStyle31"/>
          <w:lang w:eastAsia="en-US"/>
        </w:rPr>
      </w:pPr>
      <w:r>
        <w:rPr>
          <w:rStyle w:val="FontStyle31"/>
          <w:lang w:eastAsia="en-US"/>
        </w:rPr>
        <w:t xml:space="preserve">ТО е ТЕХНИЧЕСКА ОЦЕНКА на офертата на участника – с </w:t>
      </w:r>
      <w:r>
        <w:rPr>
          <w:rStyle w:val="FontStyle33"/>
          <w:lang w:eastAsia="en-US"/>
        </w:rPr>
        <w:t>максимално възможна оценка 50 т</w:t>
      </w:r>
      <w:r>
        <w:rPr>
          <w:rStyle w:val="FontStyle33"/>
          <w:lang w:val="ru-RU" w:eastAsia="en-US"/>
        </w:rPr>
        <w:t>.</w:t>
      </w:r>
      <w:r>
        <w:rPr>
          <w:rStyle w:val="FontStyle33"/>
          <w:lang w:eastAsia="en-US"/>
        </w:rPr>
        <w:t xml:space="preserve">, </w:t>
      </w:r>
      <w:r>
        <w:rPr>
          <w:rStyle w:val="FontStyle31"/>
          <w:lang w:eastAsia="en-US"/>
        </w:rPr>
        <w:t>включващи следните под-показатели:</w:t>
      </w:r>
    </w:p>
    <w:p w:rsidR="00773D0B" w:rsidRDefault="00773D0B" w:rsidP="00773D0B">
      <w:pPr>
        <w:pStyle w:val="Style12"/>
        <w:widowControl/>
        <w:numPr>
          <w:ilvl w:val="1"/>
          <w:numId w:val="1"/>
        </w:numPr>
        <w:tabs>
          <w:tab w:val="left" w:pos="540"/>
        </w:tabs>
        <w:spacing w:line="240" w:lineRule="auto"/>
        <w:ind w:left="0" w:firstLine="284"/>
        <w:rPr>
          <w:rStyle w:val="FontStyle31"/>
          <w:b/>
          <w:bCs/>
          <w:lang w:eastAsia="en-US"/>
        </w:rPr>
      </w:pPr>
      <w:r>
        <w:rPr>
          <w:rStyle w:val="FontStyle31"/>
          <w:lang w:eastAsia="en-US"/>
        </w:rPr>
        <w:t xml:space="preserve">Показател 1 </w:t>
      </w:r>
      <w:r>
        <w:rPr>
          <w:rStyle w:val="FontStyle31"/>
          <w:lang w:val="ru-RU" w:eastAsia="en-US"/>
        </w:rPr>
        <w:t>(</w:t>
      </w:r>
      <w:r>
        <w:rPr>
          <w:rStyle w:val="FontStyle31"/>
          <w:lang w:eastAsia="en-US"/>
        </w:rPr>
        <w:t>П1</w:t>
      </w:r>
      <w:r>
        <w:rPr>
          <w:rStyle w:val="FontStyle31"/>
          <w:lang w:val="ru-RU" w:eastAsia="en-US"/>
        </w:rPr>
        <w:t>)</w:t>
      </w:r>
      <w:r>
        <w:rPr>
          <w:rStyle w:val="FontStyle31"/>
          <w:lang w:eastAsia="en-US"/>
        </w:rPr>
        <w:t xml:space="preserve"> – </w:t>
      </w:r>
      <w:r>
        <w:rPr>
          <w:rStyle w:val="FontStyle31"/>
          <w:b/>
          <w:lang w:eastAsia="en-US"/>
        </w:rPr>
        <w:t>Стратегия за контрол на технологичната последователност на строителните процеси</w:t>
      </w:r>
      <w:r>
        <w:rPr>
          <w:rStyle w:val="FontStyle31"/>
          <w:lang w:eastAsia="en-US"/>
        </w:rPr>
        <w:t xml:space="preserve"> – с максимално възможна оценка </w:t>
      </w:r>
      <w:r>
        <w:rPr>
          <w:rStyle w:val="FontStyle31"/>
          <w:b/>
          <w:lang w:eastAsia="en-US"/>
        </w:rPr>
        <w:t>25 т.</w:t>
      </w:r>
    </w:p>
    <w:p w:rsidR="00773D0B" w:rsidRDefault="00773D0B" w:rsidP="00773D0B">
      <w:pPr>
        <w:pStyle w:val="Style12"/>
        <w:widowControl/>
        <w:numPr>
          <w:ilvl w:val="1"/>
          <w:numId w:val="1"/>
        </w:numPr>
        <w:tabs>
          <w:tab w:val="left" w:pos="540"/>
        </w:tabs>
        <w:spacing w:line="240" w:lineRule="auto"/>
        <w:ind w:left="0" w:firstLine="284"/>
        <w:rPr>
          <w:rStyle w:val="FontStyle31"/>
          <w:b/>
          <w:bCs/>
          <w:lang w:eastAsia="en-US"/>
        </w:rPr>
      </w:pPr>
      <w:r>
        <w:rPr>
          <w:rStyle w:val="FontStyle31"/>
          <w:lang w:eastAsia="en-US"/>
        </w:rPr>
        <w:t xml:space="preserve">Показател 2 </w:t>
      </w:r>
      <w:r>
        <w:rPr>
          <w:rStyle w:val="FontStyle31"/>
          <w:lang w:val="ru-RU" w:eastAsia="en-US"/>
        </w:rPr>
        <w:t>(</w:t>
      </w:r>
      <w:r>
        <w:rPr>
          <w:rStyle w:val="FontStyle31"/>
          <w:lang w:eastAsia="en-US"/>
        </w:rPr>
        <w:t>П2</w:t>
      </w:r>
      <w:r>
        <w:rPr>
          <w:rStyle w:val="FontStyle31"/>
          <w:lang w:val="ru-RU" w:eastAsia="en-US"/>
        </w:rPr>
        <w:t>)</w:t>
      </w:r>
      <w:r>
        <w:rPr>
          <w:rStyle w:val="FontStyle31"/>
          <w:lang w:eastAsia="en-US"/>
        </w:rPr>
        <w:t xml:space="preserve"> – </w:t>
      </w:r>
      <w:r>
        <w:rPr>
          <w:rStyle w:val="FontStyle31"/>
          <w:b/>
          <w:lang w:eastAsia="en-US"/>
        </w:rPr>
        <w:t>Организация за изпълнение на поръчката</w:t>
      </w:r>
      <w:r>
        <w:rPr>
          <w:rStyle w:val="FontStyle31"/>
          <w:lang w:eastAsia="en-US"/>
        </w:rPr>
        <w:t xml:space="preserve"> – с максимално възможна оценка </w:t>
      </w:r>
      <w:r>
        <w:rPr>
          <w:rStyle w:val="FontStyle31"/>
          <w:b/>
          <w:lang w:eastAsia="en-US"/>
        </w:rPr>
        <w:t>25 т.</w:t>
      </w:r>
    </w:p>
    <w:p w:rsidR="00773D0B" w:rsidRDefault="00773D0B" w:rsidP="00773D0B">
      <w:pPr>
        <w:pStyle w:val="Style12"/>
        <w:widowControl/>
        <w:tabs>
          <w:tab w:val="left" w:pos="180"/>
        </w:tabs>
        <w:spacing w:line="240" w:lineRule="auto"/>
        <w:ind w:firstLine="0"/>
        <w:rPr>
          <w:rStyle w:val="FontStyle31"/>
          <w:b/>
          <w:bCs/>
          <w:lang w:eastAsia="en-US"/>
        </w:rPr>
      </w:pPr>
    </w:p>
    <w:p w:rsidR="00773D0B" w:rsidRDefault="00773D0B" w:rsidP="00773D0B">
      <w:pPr>
        <w:pStyle w:val="Style12"/>
        <w:widowControl/>
        <w:tabs>
          <w:tab w:val="left" w:pos="180"/>
        </w:tabs>
        <w:spacing w:line="240" w:lineRule="auto"/>
        <w:ind w:firstLine="0"/>
        <w:rPr>
          <w:rStyle w:val="FontStyle31"/>
          <w:bCs/>
          <w:lang w:eastAsia="en-US"/>
        </w:rPr>
      </w:pPr>
      <w:r>
        <w:rPr>
          <w:rStyle w:val="FontStyle31"/>
          <w:b/>
          <w:bCs/>
          <w:lang w:eastAsia="en-US"/>
        </w:rPr>
        <w:t>ТО</w:t>
      </w:r>
      <w:r>
        <w:rPr>
          <w:rStyle w:val="FontStyle31"/>
          <w:bCs/>
          <w:lang w:eastAsia="en-US"/>
        </w:rPr>
        <w:t xml:space="preserve"> се изчислява по формулата: П1+П2</w:t>
      </w:r>
    </w:p>
    <w:p w:rsidR="00773D0B" w:rsidRDefault="00773D0B" w:rsidP="00773D0B">
      <w:pPr>
        <w:pStyle w:val="Style12"/>
        <w:widowControl/>
        <w:numPr>
          <w:ilvl w:val="0"/>
          <w:numId w:val="1"/>
        </w:numPr>
        <w:tabs>
          <w:tab w:val="left" w:pos="540"/>
        </w:tabs>
        <w:spacing w:line="240" w:lineRule="auto"/>
        <w:ind w:left="0" w:firstLine="284"/>
        <w:rPr>
          <w:rStyle w:val="FontStyle29"/>
        </w:rPr>
      </w:pPr>
      <w:r>
        <w:rPr>
          <w:rStyle w:val="FontStyle31"/>
          <w:lang w:eastAsia="en-US"/>
        </w:rPr>
        <w:t xml:space="preserve">ФО е ФИНАНСОВА ОЦЕНКА на офертата на участника - предложена от участника крайна цена - </w:t>
      </w:r>
      <w:r>
        <w:rPr>
          <w:rStyle w:val="FontStyle31"/>
          <w:b/>
          <w:lang w:eastAsia="en-US"/>
        </w:rPr>
        <w:t>с</w:t>
      </w:r>
      <w:r>
        <w:rPr>
          <w:rStyle w:val="FontStyle31"/>
          <w:lang w:eastAsia="en-US"/>
        </w:rPr>
        <w:t xml:space="preserve"> </w:t>
      </w:r>
      <w:r>
        <w:rPr>
          <w:rStyle w:val="FontStyle29"/>
          <w:lang w:eastAsia="en-US"/>
        </w:rPr>
        <w:t>максимално възможна оценка 50 т.</w:t>
      </w:r>
    </w:p>
    <w:p w:rsidR="00773D0B" w:rsidRDefault="00773D0B" w:rsidP="00773D0B">
      <w:pPr>
        <w:pStyle w:val="Style6"/>
        <w:widowControl/>
        <w:tabs>
          <w:tab w:val="left" w:pos="994"/>
        </w:tabs>
        <w:spacing w:line="240" w:lineRule="auto"/>
        <w:ind w:firstLine="0"/>
        <w:rPr>
          <w:rStyle w:val="FontStyle31"/>
          <w:u w:val="single"/>
        </w:rPr>
      </w:pPr>
    </w:p>
    <w:p w:rsidR="00773D0B" w:rsidRDefault="00773D0B" w:rsidP="00773D0B">
      <w:pPr>
        <w:pStyle w:val="Style6"/>
        <w:widowControl/>
        <w:tabs>
          <w:tab w:val="left" w:pos="994"/>
        </w:tabs>
        <w:spacing w:line="240" w:lineRule="auto"/>
        <w:ind w:firstLine="0"/>
        <w:rPr>
          <w:rStyle w:val="FontStyle31"/>
          <w:bCs/>
          <w:u w:val="single"/>
        </w:rPr>
      </w:pPr>
    </w:p>
    <w:p w:rsidR="00773D0B" w:rsidRDefault="00773D0B" w:rsidP="00773D0B">
      <w:pPr>
        <w:pStyle w:val="Style6"/>
        <w:widowControl/>
        <w:tabs>
          <w:tab w:val="left" w:pos="994"/>
        </w:tabs>
        <w:spacing w:line="240" w:lineRule="auto"/>
        <w:ind w:firstLine="0"/>
        <w:rPr>
          <w:rStyle w:val="FontStyle29"/>
          <w:b w:val="0"/>
        </w:rPr>
      </w:pPr>
      <w:r>
        <w:rPr>
          <w:rStyle w:val="FontStyle31"/>
          <w:bCs/>
          <w:u w:val="single"/>
        </w:rPr>
        <w:t xml:space="preserve">2. Определяне на </w:t>
      </w:r>
      <w:r>
        <w:rPr>
          <w:rStyle w:val="FontStyle29"/>
        </w:rPr>
        <w:t xml:space="preserve">ТЕХНИЧЕСКА ОЦЕНКА на офертата 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b/>
          <w:lang w:eastAsia="en-US"/>
        </w:rPr>
      </w:pPr>
      <w:r>
        <w:rPr>
          <w:rStyle w:val="FontStyle31"/>
          <w:b/>
          <w:lang w:eastAsia="en-US"/>
        </w:rPr>
        <w:t xml:space="preserve">Показател 1 </w:t>
      </w:r>
      <w:r>
        <w:rPr>
          <w:rStyle w:val="FontStyle31"/>
          <w:b/>
          <w:lang w:val="ru-RU" w:eastAsia="en-US"/>
        </w:rPr>
        <w:t>(</w:t>
      </w:r>
      <w:r>
        <w:rPr>
          <w:rStyle w:val="FontStyle31"/>
          <w:b/>
          <w:lang w:eastAsia="en-US"/>
        </w:rPr>
        <w:t>П 1</w:t>
      </w:r>
      <w:r>
        <w:rPr>
          <w:rStyle w:val="FontStyle31"/>
          <w:b/>
          <w:lang w:val="ru-RU" w:eastAsia="en-US"/>
        </w:rPr>
        <w:t>)</w:t>
      </w:r>
      <w:r>
        <w:rPr>
          <w:rStyle w:val="FontStyle31"/>
          <w:b/>
          <w:lang w:eastAsia="en-US"/>
        </w:rPr>
        <w:t xml:space="preserve"> – Стратегия за контрол на технологичната последователност на строителните процеси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  <w:r>
        <w:rPr>
          <w:rStyle w:val="FontStyle31"/>
          <w:b/>
          <w:lang w:eastAsia="en-US"/>
        </w:rPr>
        <w:t xml:space="preserve">Стратегията за контрол на технологичната последователност на строителните процеси </w:t>
      </w:r>
      <w:r>
        <w:rPr>
          <w:rStyle w:val="FontStyle31"/>
          <w:lang w:eastAsia="en-US"/>
        </w:rPr>
        <w:t>се описва в Образец - Предложение за изпълнение на поръчката от Документацията за участие под формата на обяснителна записка, която обхваща следните елементи:</w:t>
      </w:r>
    </w:p>
    <w:p w:rsidR="00773D0B" w:rsidRDefault="00773D0B" w:rsidP="00773D0B">
      <w:pPr>
        <w:pStyle w:val="Style5"/>
        <w:widowControl/>
        <w:numPr>
          <w:ilvl w:val="0"/>
          <w:numId w:val="2"/>
        </w:numPr>
        <w:tabs>
          <w:tab w:val="left" w:pos="540"/>
        </w:tabs>
        <w:spacing w:line="240" w:lineRule="auto"/>
        <w:ind w:left="0" w:firstLine="284"/>
        <w:rPr>
          <w:rStyle w:val="FontStyle31"/>
          <w:lang w:eastAsia="en-US"/>
        </w:rPr>
      </w:pPr>
      <w:r>
        <w:rPr>
          <w:rStyle w:val="FontStyle31"/>
          <w:lang w:eastAsia="en-US"/>
        </w:rPr>
        <w:t>Стратегия за упражняване на контрол по видовете СМР, последователността на тяхното изпълнение и сроковете за тяхното изпълнение;</w:t>
      </w:r>
    </w:p>
    <w:p w:rsidR="00773D0B" w:rsidRDefault="00773D0B" w:rsidP="00773D0B">
      <w:pPr>
        <w:pStyle w:val="Style5"/>
        <w:numPr>
          <w:ilvl w:val="0"/>
          <w:numId w:val="2"/>
        </w:numPr>
        <w:tabs>
          <w:tab w:val="left" w:pos="540"/>
        </w:tabs>
        <w:spacing w:line="240" w:lineRule="auto"/>
        <w:ind w:left="0" w:firstLine="284"/>
        <w:rPr>
          <w:rStyle w:val="FontStyle31"/>
          <w:lang w:eastAsia="en-US"/>
        </w:rPr>
      </w:pPr>
      <w:r>
        <w:rPr>
          <w:rStyle w:val="FontStyle31"/>
          <w:lang w:eastAsia="en-US"/>
        </w:rPr>
        <w:t xml:space="preserve">Стратегия за упражняване на контрол върху </w:t>
      </w:r>
      <w:r>
        <w:rPr>
          <w:rStyle w:val="FontStyle31"/>
          <w:lang w:val="ru-RU" w:eastAsia="en-US"/>
        </w:rPr>
        <w:t xml:space="preserve">влаганите </w:t>
      </w:r>
      <w:r>
        <w:rPr>
          <w:rStyle w:val="FontStyle31"/>
          <w:lang w:eastAsia="en-US"/>
        </w:rPr>
        <w:t xml:space="preserve">строителни материали и изделия, тяхното съответствие на съществените изисквания към строежите и техническите спецификации, определени със Закона за техническите изисквания към продуктите, начин на влагане, изпитания и др. </w:t>
      </w:r>
    </w:p>
    <w:p w:rsidR="00773D0B" w:rsidRDefault="00773D0B" w:rsidP="00773D0B">
      <w:pPr>
        <w:pStyle w:val="Style5"/>
        <w:numPr>
          <w:ilvl w:val="0"/>
          <w:numId w:val="2"/>
        </w:numPr>
        <w:tabs>
          <w:tab w:val="left" w:pos="540"/>
        </w:tabs>
        <w:spacing w:line="240" w:lineRule="auto"/>
        <w:ind w:left="0" w:firstLine="284"/>
        <w:rPr>
          <w:rStyle w:val="FontStyle31"/>
          <w:lang w:eastAsia="en-US"/>
        </w:rPr>
      </w:pPr>
      <w:r>
        <w:rPr>
          <w:rStyle w:val="FontStyle31"/>
          <w:lang w:eastAsia="en-US"/>
        </w:rPr>
        <w:t>Метод за работа при установяване на несъответствия на строителните материали и изделия с техническите изисквания на проекта и контрол по подмяната или корекцията им;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</w:p>
    <w:tbl>
      <w:tblPr>
        <w:tblW w:w="10455" w:type="dxa"/>
        <w:jc w:val="center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2"/>
        <w:gridCol w:w="2340"/>
        <w:gridCol w:w="6346"/>
        <w:gridCol w:w="897"/>
      </w:tblGrid>
      <w:tr w:rsidR="00773D0B" w:rsidTr="00773D0B">
        <w:trPr>
          <w:tblHeader/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proofErr w:type="spellStart"/>
            <w:r>
              <w:rPr>
                <w:rStyle w:val="FontStyle31"/>
                <w:b/>
                <w:lang w:eastAsia="en-US"/>
              </w:rPr>
              <w:t>Пока-зател</w:t>
            </w:r>
            <w:proofErr w:type="spellEnd"/>
            <w:r>
              <w:rPr>
                <w:rStyle w:val="FontStyle31"/>
                <w:b/>
                <w:lang w:eastAsia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Наименование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284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Обстоятелства, при които се поставят точките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29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Брой точки</w:t>
            </w:r>
          </w:p>
        </w:tc>
      </w:tr>
      <w:tr w:rsidR="00773D0B" w:rsidTr="00773D0B">
        <w:trPr>
          <w:jc w:val="center"/>
        </w:trPr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П 1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Стратегията за контрол на технологичната последователност на строителните процеси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описал всички стъпки по упражняването на контрол върху строителните материали и изделия и тяхното съответствие на съществените изисквания към строежите и  техническите спецификации, определени със Закона за техническите изисквания към продуктите, начин на влагане, изпитания и др. </w:t>
            </w:r>
          </w:p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Участникът е посочил метод за работа при установяване на несъответствия на строителните материали и изделия с техническите изисквания на проекта и контрол по подмяната или корекцията им;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29"/>
              <w:rPr>
                <w:rStyle w:val="FontStyle31"/>
                <w:highlight w:val="green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ясно и подробно е посочил в обяснителната записка от техническото си предложение стратегията за контрол по видовете СМР, последователността на тяхното изпълнение и сроковете за </w:t>
            </w:r>
            <w:r>
              <w:rPr>
                <w:rStyle w:val="FontStyle31"/>
                <w:lang w:eastAsia="en-US"/>
              </w:rPr>
              <w:lastRenderedPageBreak/>
              <w:t>тяхното изпълнение.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29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lastRenderedPageBreak/>
              <w:t>25 т.</w:t>
            </w:r>
          </w:p>
        </w:tc>
      </w:tr>
      <w:tr w:rsidR="00773D0B" w:rsidTr="00773D0B">
        <w:trPr>
          <w:jc w:val="center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описал всички стъпки по упражняването на контрол  върху строителните материали и изделия и тяхното съответствие на съществените изисквания към строежите и  техническите спецификации, определени със Закона за техническите изисквания към продуктите, начин на влагане, изпитания и др. </w:t>
            </w:r>
          </w:p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Участникът е посочил метод за работа при установяване на несъответствия на строителните материали и изделия с техническите изисквания на проекта и контрол по подмяната или корекцията им;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посочил в обяснителната записка от техническото си предложение стратегията за контрол по видовете СМР, </w:t>
            </w:r>
            <w:r>
              <w:rPr>
                <w:rStyle w:val="FontStyle31"/>
                <w:b/>
                <w:u w:val="single"/>
                <w:lang w:eastAsia="en-US"/>
              </w:rPr>
              <w:t>но са налице пропуски и/или несъответствия при описанието на тяхната технологична последователност.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29"/>
              <w:jc w:val="center"/>
              <w:rPr>
                <w:rStyle w:val="FontStyle31"/>
                <w:color w:val="000000"/>
                <w:lang w:eastAsia="en-US"/>
              </w:rPr>
            </w:pPr>
            <w:r>
              <w:rPr>
                <w:rStyle w:val="FontStyle31"/>
                <w:color w:val="000000"/>
                <w:lang w:val="en-US" w:eastAsia="en-US"/>
              </w:rPr>
              <w:t>15 т.</w:t>
            </w:r>
          </w:p>
        </w:tc>
      </w:tr>
      <w:tr w:rsidR="00773D0B" w:rsidTr="00773D0B">
        <w:trPr>
          <w:jc w:val="center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описал стъпки по упражняването на контрол върху строителните материали и изделия и тяхното съответствие на съществените изисквания към строежите и техническите спецификации, определени със Закона за техническите изисквания към продуктите начин на влагане, изпитания и др. </w:t>
            </w:r>
          </w:p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е посочил метод за работа при установяване на несъответствия на строителните материали и изделия с техническите изисквания на проекта.  </w:t>
            </w:r>
          </w:p>
          <w:p w:rsidR="00773D0B" w:rsidRDefault="00773D0B">
            <w:pPr>
              <w:pStyle w:val="Style5"/>
              <w:spacing w:line="240" w:lineRule="auto"/>
              <w:ind w:firstLine="29"/>
              <w:rPr>
                <w:rStyle w:val="FontStyle31"/>
                <w:b/>
                <w:u w:val="single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Участникът не е </w:t>
            </w:r>
            <w:r>
              <w:rPr>
                <w:rStyle w:val="FontStyle31"/>
                <w:b/>
                <w:u w:val="single"/>
                <w:lang w:eastAsia="en-US"/>
              </w:rPr>
              <w:t>обърнал внимание на контрола на  доставените строителни материали и изделия, начин на влагане, изпитания и др. и/или не е посочил методи за контрол във връзка подмяната или корекцията на несъответстващи материали и изделия.</w:t>
            </w:r>
          </w:p>
          <w:p w:rsidR="00773D0B" w:rsidRDefault="00773D0B">
            <w:pPr>
              <w:pStyle w:val="Style5"/>
              <w:widowControl/>
              <w:spacing w:line="240" w:lineRule="auto"/>
              <w:ind w:left="29" w:firstLine="29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Участникът е посочил в обяснителната записка от техническото си предложение стратегията за контрол по видовете СМР, последователността на тяхното изпълнение и сроковете за тяхното изпълнение.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color w:val="000000"/>
                <w:lang w:val="en-US" w:eastAsia="en-US"/>
              </w:rPr>
            </w:pPr>
            <w:r>
              <w:rPr>
                <w:rStyle w:val="FontStyle31"/>
                <w:color w:val="000000"/>
                <w:lang w:eastAsia="en-US"/>
              </w:rPr>
              <w:t>5 т.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color w:val="FF0000"/>
                <w:lang w:eastAsia="en-US"/>
              </w:rPr>
            </w:pPr>
          </w:p>
        </w:tc>
      </w:tr>
      <w:tr w:rsidR="00773D0B" w:rsidTr="00773D0B">
        <w:trPr>
          <w:jc w:val="center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29"/>
              <w:rPr>
                <w:rStyle w:val="FontStyle31"/>
                <w:lang w:eastAsia="en-US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color w:val="FF0000"/>
                <w:lang w:eastAsia="en-US"/>
              </w:rPr>
            </w:pPr>
          </w:p>
        </w:tc>
      </w:tr>
    </w:tbl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left="284" w:firstLine="0"/>
        <w:rPr>
          <w:rStyle w:val="FontStyle31"/>
          <w:b/>
          <w:lang w:eastAsia="en-US"/>
        </w:rPr>
      </w:pPr>
      <w:r>
        <w:rPr>
          <w:rStyle w:val="FontStyle31"/>
          <w:b/>
          <w:lang w:eastAsia="en-US"/>
        </w:rPr>
        <w:t>Показател 2 (П2) – Организация за изпълнение на поръчката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  <w:r>
        <w:rPr>
          <w:rStyle w:val="FontStyle31"/>
          <w:b/>
          <w:lang w:eastAsia="en-US"/>
        </w:rPr>
        <w:t xml:space="preserve">Организацията за изпълнение на поръчката </w:t>
      </w:r>
      <w:r>
        <w:rPr>
          <w:rStyle w:val="FontStyle31"/>
          <w:lang w:eastAsia="en-US"/>
        </w:rPr>
        <w:t>се описва в Образец от Документацията за участие – Предложение за изпълнение на поръчката под формата на обяснителна записка, която обхваща следните елементи:</w:t>
      </w:r>
    </w:p>
    <w:p w:rsidR="00773D0B" w:rsidRDefault="00773D0B" w:rsidP="00773D0B">
      <w:pPr>
        <w:pStyle w:val="Style5"/>
        <w:widowControl/>
        <w:numPr>
          <w:ilvl w:val="0"/>
          <w:numId w:val="2"/>
        </w:numPr>
        <w:tabs>
          <w:tab w:val="num" w:pos="0"/>
          <w:tab w:val="left" w:pos="900"/>
        </w:tabs>
        <w:spacing w:line="240" w:lineRule="auto"/>
        <w:ind w:left="0" w:firstLine="644"/>
        <w:rPr>
          <w:rStyle w:val="FontStyle31"/>
          <w:lang w:eastAsia="en-US"/>
        </w:rPr>
      </w:pPr>
      <w:r>
        <w:rPr>
          <w:rStyle w:val="FontStyle31"/>
          <w:lang w:eastAsia="en-US"/>
        </w:rPr>
        <w:t>Описание на обезпечеността и разпределението на човешките ресурси за изпълнението на поръчката, отговорностите на отделните специалисти по специалности, които ще участват в процеса на контрол на изпълняваните дейности;</w:t>
      </w:r>
    </w:p>
    <w:p w:rsidR="00773D0B" w:rsidRDefault="00773D0B" w:rsidP="00773D0B">
      <w:pPr>
        <w:pStyle w:val="Style5"/>
        <w:numPr>
          <w:ilvl w:val="0"/>
          <w:numId w:val="2"/>
        </w:numPr>
        <w:tabs>
          <w:tab w:val="num" w:pos="0"/>
          <w:tab w:val="left" w:pos="900"/>
        </w:tabs>
        <w:spacing w:line="240" w:lineRule="auto"/>
        <w:ind w:left="0" w:firstLine="644"/>
        <w:rPr>
          <w:rStyle w:val="FontStyle31"/>
          <w:lang w:eastAsia="en-US"/>
        </w:rPr>
      </w:pPr>
      <w:r>
        <w:rPr>
          <w:rStyle w:val="FontStyle31"/>
          <w:lang w:eastAsia="en-US"/>
        </w:rPr>
        <w:t>Описание на документите, които ще бъдат съставяни във връзка с контрола на изпълнението на обекта;</w:t>
      </w:r>
    </w:p>
    <w:p w:rsidR="00773D0B" w:rsidRDefault="00773D0B" w:rsidP="00773D0B">
      <w:pPr>
        <w:pStyle w:val="Style5"/>
        <w:numPr>
          <w:ilvl w:val="0"/>
          <w:numId w:val="2"/>
        </w:numPr>
        <w:tabs>
          <w:tab w:val="num" w:pos="0"/>
          <w:tab w:val="left" w:pos="900"/>
        </w:tabs>
        <w:spacing w:line="240" w:lineRule="auto"/>
        <w:ind w:left="0" w:firstLine="644"/>
        <w:rPr>
          <w:rStyle w:val="FontStyle31"/>
          <w:lang w:eastAsia="en-US"/>
        </w:rPr>
      </w:pPr>
      <w:r>
        <w:rPr>
          <w:rStyle w:val="FontStyle31"/>
          <w:lang w:eastAsia="en-US"/>
        </w:rPr>
        <w:t>Индикативен график на изпълнение на поръчката в свободен формат, който да онагледява предложената Организация за изпълнение на поръчката.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  <w:lang w:eastAsia="en-US"/>
        </w:rPr>
      </w:pP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8"/>
        <w:gridCol w:w="2124"/>
        <w:gridCol w:w="6294"/>
        <w:gridCol w:w="962"/>
      </w:tblGrid>
      <w:tr w:rsidR="00773D0B" w:rsidTr="00773D0B">
        <w:trPr>
          <w:tblHeader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proofErr w:type="spellStart"/>
            <w:r>
              <w:rPr>
                <w:rStyle w:val="FontStyle31"/>
                <w:b/>
                <w:lang w:eastAsia="en-US"/>
              </w:rPr>
              <w:t>Пока-зател</w:t>
            </w:r>
            <w:proofErr w:type="spell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Наименование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Обстоятелства, при които се поставят точките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Брой точки</w:t>
            </w:r>
          </w:p>
        </w:tc>
      </w:tr>
      <w:tr w:rsidR="00773D0B" w:rsidTr="00773D0B">
        <w:trPr>
          <w:jc w:val="center"/>
        </w:trPr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b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>П2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b/>
                <w:lang w:eastAsia="en-US"/>
              </w:rPr>
              <w:t xml:space="preserve">Организацията за изпълнение на поръчката 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Представено е описание на обезпечеността и разпределението на човешките ресурси за изпълнението на поръчката, отговорностите на отделните специалисти по специалности, които ще участват в процеса на контрол на изпълняваните дейности;</w:t>
            </w:r>
          </w:p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Представено е описание на документите, които ще бъдат съставяни във връзка с контрола на изпълнението на обекта. 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 е индикативен график на изпълнение на поръчката в свободен формат, който да онагледява предложената Организация за изпълнение на поръчката.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25 т.</w:t>
            </w:r>
          </w:p>
        </w:tc>
      </w:tr>
      <w:tr w:rsidR="00773D0B" w:rsidTr="00773D0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Представено е описание на обезпечеността и разпределението на човешките ресурси за изпълнението на поръчката, отговорностите на отделните специалисти по специалности, които ще участват в процеса на контрол на изпълняваните дейности;</w:t>
            </w:r>
          </w:p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b/>
                <w:u w:val="single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Представено е описание на документите, които ще бъдат съставяни във връзка с контрола на изпълнението на обекта,  </w:t>
            </w:r>
            <w:r>
              <w:rPr>
                <w:rStyle w:val="FontStyle31"/>
                <w:b/>
                <w:u w:val="single"/>
                <w:lang w:eastAsia="en-US"/>
              </w:rPr>
              <w:t>но са допуснати нарушение/нарушения на коректната последователност на изготвяне на  документите.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 е индикативен график на изпълнение на поръчката в свободен формат, който да онагледява предложената Организация за изпълнение на поръчката.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15 т.</w:t>
            </w:r>
          </w:p>
        </w:tc>
      </w:tr>
      <w:tr w:rsidR="00773D0B" w:rsidTr="00773D0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Представено е описание на обезпечеността и разпределението на човешките ресурси за изпълнението на поръчката, отговорностите на отделните специалисти по специалности, които ще участват в процеса на контрол на изпълняваните дейности, </w:t>
            </w:r>
            <w:r>
              <w:rPr>
                <w:rStyle w:val="FontStyle31"/>
                <w:b/>
                <w:u w:val="single"/>
                <w:lang w:eastAsia="en-US"/>
              </w:rPr>
              <w:t>но са допуснати разминавания/ несъответствия между дейностите,  подлежащи на контрол и отговорностите на специалистите по осъществяването на този контрол.</w:t>
            </w:r>
          </w:p>
          <w:p w:rsidR="00773D0B" w:rsidRDefault="00773D0B">
            <w:pPr>
              <w:pStyle w:val="Style5"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 xml:space="preserve">Представено е описание на документите, които ще бъдат съставяни във връзка с контрола на изпълнението на обекта. </w:t>
            </w:r>
          </w:p>
          <w:p w:rsidR="00773D0B" w:rsidRDefault="00773D0B">
            <w:pPr>
              <w:pStyle w:val="Style5"/>
              <w:widowControl/>
              <w:spacing w:line="240" w:lineRule="auto"/>
              <w:ind w:firstLine="0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Представен е индикативен график на изпълнение на поръчката в свободен формат, който да онагледява предложената Организация за изпълнение на поръчката.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5 т.</w:t>
            </w:r>
          </w:p>
        </w:tc>
      </w:tr>
      <w:tr w:rsidR="00773D0B" w:rsidTr="00773D0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D0B" w:rsidRDefault="00773D0B">
            <w:pPr>
              <w:rPr>
                <w:rStyle w:val="FontStyle31"/>
              </w:rPr>
            </w:pP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rPr>
                <w:rStyle w:val="FontStyle31"/>
                <w:lang w:eastAsia="en-US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D0B" w:rsidRDefault="00773D0B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31"/>
                <w:lang w:eastAsia="en-US"/>
              </w:rPr>
            </w:pPr>
          </w:p>
        </w:tc>
      </w:tr>
    </w:tbl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3"/>
        </w:rPr>
      </w:pP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3"/>
        </w:rPr>
      </w:pP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</w:rPr>
      </w:pPr>
      <w:r>
        <w:rPr>
          <w:rStyle w:val="FontStyle33"/>
        </w:rPr>
        <w:t xml:space="preserve">3. Определяне на ФИНАНСОВА ОЦЕНКА (ФО) - </w:t>
      </w:r>
      <w:r>
        <w:rPr>
          <w:rStyle w:val="FontStyle31"/>
        </w:rPr>
        <w:t>предложена от участника крайна цена за изпълнение на поръчката - оценката се формира по следния начин:</w:t>
      </w:r>
    </w:p>
    <w:p w:rsidR="00773D0B" w:rsidRDefault="00773D0B" w:rsidP="00773D0B">
      <w:pPr>
        <w:pStyle w:val="Style25"/>
        <w:widowControl/>
        <w:spacing w:line="240" w:lineRule="auto"/>
        <w:ind w:firstLine="284"/>
        <w:jc w:val="left"/>
        <w:rPr>
          <w:rStyle w:val="FontStyle33"/>
        </w:rPr>
      </w:pPr>
      <w:r>
        <w:rPr>
          <w:rStyle w:val="FontStyle33"/>
        </w:rPr>
        <w:t xml:space="preserve">ФО = </w:t>
      </w:r>
      <w:r>
        <w:rPr>
          <w:rStyle w:val="FontStyle33"/>
          <w:lang w:val="ru-RU"/>
        </w:rPr>
        <w:t>(</w:t>
      </w:r>
      <w:proofErr w:type="spellStart"/>
      <w:r>
        <w:rPr>
          <w:rStyle w:val="FontStyle33"/>
          <w:lang w:val="en-US"/>
        </w:rPr>
        <w:t>Cmin</w:t>
      </w:r>
      <w:proofErr w:type="spellEnd"/>
      <w:r>
        <w:rPr>
          <w:rStyle w:val="FontStyle33"/>
          <w:lang w:val="ru-RU"/>
        </w:rPr>
        <w:t xml:space="preserve"> </w:t>
      </w:r>
      <w:r>
        <w:rPr>
          <w:rStyle w:val="FontStyle33"/>
        </w:rPr>
        <w:t xml:space="preserve">/ </w:t>
      </w:r>
      <w:proofErr w:type="spellStart"/>
      <w:r>
        <w:rPr>
          <w:rStyle w:val="FontStyle33"/>
          <w:lang w:val="en-US"/>
        </w:rPr>
        <w:t>Ci</w:t>
      </w:r>
      <w:proofErr w:type="spellEnd"/>
      <w:r>
        <w:rPr>
          <w:rStyle w:val="FontStyle33"/>
          <w:lang w:val="ru-RU"/>
        </w:rPr>
        <w:t xml:space="preserve">) </w:t>
      </w:r>
      <w:r>
        <w:rPr>
          <w:rStyle w:val="FontStyle33"/>
        </w:rPr>
        <w:t>х 50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</w:rPr>
      </w:pPr>
      <w:r>
        <w:rPr>
          <w:rStyle w:val="FontStyle31"/>
        </w:rPr>
        <w:t xml:space="preserve">Където </w:t>
      </w:r>
      <w:r>
        <w:rPr>
          <w:rStyle w:val="FontStyle33"/>
          <w:lang w:val="en-US"/>
        </w:rPr>
        <w:t>Ci</w:t>
      </w:r>
      <w:r>
        <w:rPr>
          <w:rStyle w:val="FontStyle33"/>
          <w:lang w:val="ru-RU"/>
        </w:rPr>
        <w:t xml:space="preserve"> </w:t>
      </w:r>
      <w:r>
        <w:rPr>
          <w:rStyle w:val="FontStyle31"/>
        </w:rPr>
        <w:t>е предложената крайна цена за изпълнение на поръчката по съответната обособена позиция съгласно Финансовото предложение на съответния участник.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</w:rPr>
      </w:pPr>
      <w:r>
        <w:rPr>
          <w:rStyle w:val="FontStyle31"/>
        </w:rPr>
        <w:t xml:space="preserve">Където </w:t>
      </w:r>
      <w:proofErr w:type="spellStart"/>
      <w:r>
        <w:rPr>
          <w:rStyle w:val="FontStyle33"/>
          <w:lang w:val="en-US"/>
        </w:rPr>
        <w:t>Cmin</w:t>
      </w:r>
      <w:proofErr w:type="spellEnd"/>
      <w:r>
        <w:rPr>
          <w:rStyle w:val="FontStyle33"/>
          <w:lang w:val="ru-RU"/>
        </w:rPr>
        <w:t xml:space="preserve"> </w:t>
      </w:r>
      <w:r>
        <w:rPr>
          <w:rStyle w:val="FontStyle31"/>
        </w:rPr>
        <w:t>е минималната предложена крайна цена за изпълнение на съответната обособена позиция съгласно Финансовите предложения на участниците.</w:t>
      </w:r>
    </w:p>
    <w:p w:rsidR="00773D0B" w:rsidRDefault="00773D0B" w:rsidP="00773D0B">
      <w:pPr>
        <w:pStyle w:val="Style5"/>
        <w:widowControl/>
        <w:spacing w:line="240" w:lineRule="auto"/>
        <w:ind w:firstLine="0"/>
        <w:rPr>
          <w:rStyle w:val="FontStyle31"/>
        </w:rPr>
      </w:pPr>
    </w:p>
    <w:p w:rsidR="00773D0B" w:rsidRDefault="00773D0B" w:rsidP="00773D0B">
      <w:pPr>
        <w:pStyle w:val="Style6"/>
        <w:widowControl/>
        <w:tabs>
          <w:tab w:val="left" w:pos="931"/>
        </w:tabs>
        <w:spacing w:line="240" w:lineRule="auto"/>
        <w:ind w:firstLine="0"/>
        <w:rPr>
          <w:rStyle w:val="FontStyle31"/>
        </w:rPr>
      </w:pPr>
      <w:r>
        <w:rPr>
          <w:rStyle w:val="FontStyle31"/>
        </w:rPr>
        <w:t xml:space="preserve">Оценките по отделните показатели се представят в числово изражение с точност до </w:t>
      </w:r>
      <w:r>
        <w:rPr>
          <w:rStyle w:val="FontStyle33"/>
        </w:rPr>
        <w:t xml:space="preserve">втория знак </w:t>
      </w:r>
      <w:r>
        <w:rPr>
          <w:rStyle w:val="FontStyle31"/>
        </w:rPr>
        <w:t xml:space="preserve">след десетичната запетая. </w:t>
      </w:r>
    </w:p>
    <w:p w:rsidR="00773D0B" w:rsidRDefault="00773D0B" w:rsidP="00773D0B">
      <w:pPr>
        <w:pStyle w:val="Style6"/>
        <w:widowControl/>
        <w:tabs>
          <w:tab w:val="left" w:pos="931"/>
        </w:tabs>
        <w:spacing w:line="240" w:lineRule="auto"/>
        <w:ind w:firstLine="0"/>
        <w:rPr>
          <w:rStyle w:val="FontStyle31"/>
        </w:rPr>
      </w:pPr>
    </w:p>
    <w:p w:rsidR="00773D0B" w:rsidRDefault="00773D0B" w:rsidP="00773D0B">
      <w:pPr>
        <w:pStyle w:val="Style6"/>
        <w:widowControl/>
        <w:tabs>
          <w:tab w:val="left" w:pos="931"/>
        </w:tabs>
        <w:spacing w:line="240" w:lineRule="auto"/>
        <w:ind w:firstLine="0"/>
        <w:rPr>
          <w:rStyle w:val="FontStyle31"/>
          <w:b/>
        </w:rPr>
      </w:pPr>
      <w:r>
        <w:rPr>
          <w:rStyle w:val="FontStyle31"/>
        </w:rPr>
        <w:t xml:space="preserve">Максималната комплексна оценка, която може да получи една оферта е </w:t>
      </w:r>
      <w:r>
        <w:rPr>
          <w:rStyle w:val="FontStyle31"/>
          <w:b/>
        </w:rPr>
        <w:t>100 (сто) точки.</w:t>
      </w:r>
    </w:p>
    <w:p w:rsidR="00773D0B" w:rsidRDefault="00773D0B" w:rsidP="00773D0B">
      <w:pPr>
        <w:pStyle w:val="firstline"/>
        <w:spacing w:before="0" w:beforeAutospacing="0" w:after="120" w:afterAutospacing="0"/>
        <w:rPr>
          <w:highlight w:val="yellow"/>
        </w:rPr>
      </w:pPr>
    </w:p>
    <w:p w:rsidR="004F4B09" w:rsidRDefault="0088190E"/>
    <w:sectPr w:rsidR="004F4B09" w:rsidSect="0067219B">
      <w:headerReference w:type="default" r:id="rId7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90E" w:rsidRDefault="0088190E" w:rsidP="0088190E">
      <w:r>
        <w:separator/>
      </w:r>
    </w:p>
  </w:endnote>
  <w:endnote w:type="continuationSeparator" w:id="0">
    <w:p w:rsidR="0088190E" w:rsidRDefault="0088190E" w:rsidP="008819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90E" w:rsidRDefault="0088190E" w:rsidP="0088190E">
      <w:r>
        <w:separator/>
      </w:r>
    </w:p>
  </w:footnote>
  <w:footnote w:type="continuationSeparator" w:id="0">
    <w:p w:rsidR="0088190E" w:rsidRDefault="0088190E" w:rsidP="008819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90E" w:rsidRPr="00EA4387" w:rsidRDefault="0088190E" w:rsidP="0088190E">
    <w:pPr>
      <w:tabs>
        <w:tab w:val="center" w:pos="4536"/>
        <w:tab w:val="right" w:pos="9072"/>
      </w:tabs>
      <w:spacing w:after="180" w:line="274" w:lineRule="auto"/>
      <w:jc w:val="both"/>
      <w:rPr>
        <w:rFonts w:ascii="Tahoma" w:eastAsia="Calibri" w:hAnsi="Tahoma" w:cs="Tahoma"/>
        <w:noProof/>
        <w:color w:val="000000"/>
        <w:sz w:val="17"/>
        <w:szCs w:val="17"/>
        <w:lang w:val="en-US" w:eastAsia="bg-BG"/>
      </w:rPr>
    </w:pPr>
    <w:r w:rsidRPr="00EA4387">
      <w:rPr>
        <w:rFonts w:ascii="Calibri" w:eastAsia="Calibri" w:hAnsi="Calibri" w:cs="Calibri"/>
        <w:noProof/>
        <w:sz w:val="21"/>
        <w:szCs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81pt;margin-top:.6pt;width:290pt;height:70.85pt;z-index:251660288" stroked="f">
          <v:textbox style="mso-next-textbox:#_x0000_s2049">
            <w:txbxContent>
              <w:p w:rsidR="0088190E" w:rsidRPr="00297CDE" w:rsidRDefault="0088190E" w:rsidP="0088190E">
                <w:pPr>
                  <w:pStyle w:val="Header"/>
                  <w:jc w:val="center"/>
                  <w:rPr>
                    <w:b/>
                    <w:sz w:val="16"/>
                    <w:szCs w:val="16"/>
                    <w:lang w:val="ru-RU"/>
                  </w:rPr>
                </w:pPr>
                <w:r w:rsidRPr="00297CDE">
                  <w:rPr>
                    <w:b/>
                    <w:sz w:val="22"/>
                    <w:szCs w:val="22"/>
                    <w:lang w:val="ru-RU"/>
                  </w:rPr>
                  <w:t>П</w:t>
                </w:r>
                <w:r w:rsidRPr="00297CDE">
                  <w:rPr>
                    <w:b/>
                    <w:sz w:val="16"/>
                    <w:szCs w:val="16"/>
                    <w:lang w:val="ru-RU"/>
                  </w:rPr>
                  <w:t>РОГРАМА ЗА РАЗВИТИЕ НА СЕЛСКИТЕ РАЙОНИ 2007-2013</w:t>
                </w:r>
              </w:p>
              <w:p w:rsidR="0088190E" w:rsidRPr="00297CDE" w:rsidRDefault="0088190E" w:rsidP="0088190E">
                <w:pPr>
                  <w:pStyle w:val="Header"/>
                  <w:jc w:val="center"/>
                  <w:rPr>
                    <w:b/>
                    <w:sz w:val="16"/>
                    <w:szCs w:val="16"/>
                    <w:lang w:val="ru-RU"/>
                  </w:rPr>
                </w:pPr>
                <w:r w:rsidRPr="00297CDE">
                  <w:rPr>
                    <w:b/>
                    <w:sz w:val="16"/>
                    <w:szCs w:val="16"/>
                    <w:lang w:val="ru-RU"/>
                  </w:rPr>
                  <w:t>ЕВРОПЕЙСКИ ЗЕМЕДЕЛСКИ ФОНД ЗА РАЗВИТИЕ НА СЕЛСКИТЕ РАЙОНИ:</w:t>
                </w:r>
              </w:p>
              <w:p w:rsidR="0088190E" w:rsidRPr="00DE1E25" w:rsidRDefault="0088190E" w:rsidP="0088190E">
                <w:pPr>
                  <w:pStyle w:val="Header"/>
                  <w:jc w:val="center"/>
                  <w:rPr>
                    <w:b/>
                    <w:i/>
                    <w:sz w:val="16"/>
                    <w:szCs w:val="16"/>
                  </w:rPr>
                </w:pPr>
                <w:r w:rsidRPr="00DE1E25">
                  <w:rPr>
                    <w:b/>
                    <w:i/>
                    <w:sz w:val="16"/>
                    <w:szCs w:val="16"/>
                  </w:rPr>
                  <w:t>„ЕВРОПА ИНВЕСТИРА В СЕЛСКИТЕ РАЙОНИ“</w:t>
                </w:r>
              </w:p>
            </w:txbxContent>
          </v:textbox>
          <w10:wrap type="square"/>
        </v:shape>
      </w:pict>
    </w:r>
    <w:r w:rsidRPr="00EA4387">
      <w:rPr>
        <w:rFonts w:ascii="Calibri" w:eastAsia="Calibri" w:hAnsi="Calibri" w:cs="Calibri"/>
        <w:sz w:val="21"/>
        <w:szCs w:val="21"/>
      </w:rPr>
      <w:t xml:space="preserve"> </w:t>
    </w:r>
    <w:r>
      <w:rPr>
        <w:rFonts w:ascii="Tahoma" w:eastAsia="Calibri" w:hAnsi="Tahoma" w:cs="Tahoma"/>
        <w:noProof/>
        <w:color w:val="000000"/>
        <w:sz w:val="17"/>
        <w:szCs w:val="17"/>
        <w:lang w:val="bg-BG" w:eastAsia="bg-BG"/>
      </w:rPr>
      <w:drawing>
        <wp:inline distT="0" distB="0" distL="0" distR="0">
          <wp:extent cx="876300" cy="685800"/>
          <wp:effectExtent l="19050" t="0" r="0" b="0"/>
          <wp:docPr id="1" name="Picture 1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A4387">
      <w:rPr>
        <w:rFonts w:ascii="Tahoma" w:eastAsia="Calibri" w:hAnsi="Tahoma" w:cs="Tahoma"/>
        <w:noProof/>
        <w:color w:val="000000"/>
        <w:sz w:val="17"/>
        <w:szCs w:val="17"/>
        <w:lang w:val="en-US" w:eastAsia="bg-BG"/>
      </w:rPr>
      <w:t xml:space="preserve">                                                                                                               </w:t>
    </w:r>
    <w:r>
      <w:rPr>
        <w:rFonts w:ascii="Tahoma" w:eastAsia="Calibri" w:hAnsi="Tahoma" w:cs="Tahoma"/>
        <w:b/>
        <w:noProof/>
        <w:color w:val="185E86"/>
        <w:sz w:val="17"/>
        <w:szCs w:val="17"/>
        <w:lang w:val="bg-BG" w:eastAsia="bg-BG"/>
      </w:rPr>
      <w:drawing>
        <wp:inline distT="0" distB="0" distL="0" distR="0">
          <wp:extent cx="914400" cy="733425"/>
          <wp:effectExtent l="19050" t="0" r="0" b="0"/>
          <wp:docPr id="2" name="Picture 4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A4387">
      <w:rPr>
        <w:rFonts w:ascii="Tahoma" w:eastAsia="Calibri" w:hAnsi="Tahoma" w:cs="Tahoma"/>
        <w:noProof/>
        <w:color w:val="000000"/>
        <w:sz w:val="17"/>
        <w:szCs w:val="17"/>
        <w:lang w:val="en-US" w:eastAsia="bg-BG"/>
      </w:rPr>
      <w:t xml:space="preserve">        </w:t>
    </w:r>
  </w:p>
  <w:p w:rsidR="0088190E" w:rsidRPr="00C67479" w:rsidRDefault="0088190E" w:rsidP="0088190E">
    <w:pPr>
      <w:overflowPunct w:val="0"/>
      <w:autoSpaceDE w:val="0"/>
      <w:autoSpaceDN w:val="0"/>
      <w:adjustRightInd w:val="0"/>
      <w:spacing w:before="120" w:after="120" w:line="276" w:lineRule="auto"/>
      <w:ind w:right="-51"/>
      <w:jc w:val="both"/>
      <w:rPr>
        <w:b/>
        <w:color w:val="000000"/>
        <w:lang w:eastAsia="bg-BG"/>
      </w:rPr>
    </w:pPr>
    <w:proofErr w:type="spellStart"/>
    <w:r w:rsidRPr="00EA4387">
      <w:rPr>
        <w:rFonts w:ascii="Calibri" w:eastAsia="Calibri" w:hAnsi="Calibri" w:cs="Calibri"/>
        <w:sz w:val="18"/>
        <w:szCs w:val="18"/>
      </w:rPr>
      <w:t>Документация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EA4387">
      <w:rPr>
        <w:rFonts w:ascii="Calibri" w:eastAsia="Calibri" w:hAnsi="Calibri" w:cs="Calibri"/>
        <w:sz w:val="18"/>
        <w:szCs w:val="18"/>
      </w:rPr>
      <w:t>към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EA4387">
      <w:rPr>
        <w:rFonts w:ascii="Calibri" w:eastAsia="Calibri" w:hAnsi="Calibri" w:cs="Calibri"/>
        <w:sz w:val="18"/>
        <w:szCs w:val="18"/>
      </w:rPr>
      <w:t>публична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EA4387">
      <w:rPr>
        <w:rFonts w:ascii="Calibri" w:eastAsia="Calibri" w:hAnsi="Calibri" w:cs="Calibri"/>
        <w:sz w:val="18"/>
        <w:szCs w:val="18"/>
      </w:rPr>
      <w:t>покана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EA4387">
      <w:rPr>
        <w:rFonts w:ascii="Calibri" w:eastAsia="Calibri" w:hAnsi="Calibri" w:cs="Calibri"/>
        <w:sz w:val="18"/>
        <w:szCs w:val="18"/>
      </w:rPr>
      <w:t>за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EA4387">
      <w:rPr>
        <w:rFonts w:ascii="Calibri" w:eastAsia="Calibri" w:hAnsi="Calibri" w:cs="Calibri"/>
        <w:sz w:val="18"/>
        <w:szCs w:val="18"/>
      </w:rPr>
      <w:t>участие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 в </w:t>
    </w:r>
    <w:proofErr w:type="spellStart"/>
    <w:r w:rsidRPr="00EA4387">
      <w:rPr>
        <w:rFonts w:ascii="Calibri" w:eastAsia="Calibri" w:hAnsi="Calibri" w:cs="Calibri"/>
        <w:sz w:val="18"/>
        <w:szCs w:val="18"/>
      </w:rPr>
      <w:t>обществена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EA4387">
      <w:rPr>
        <w:rFonts w:ascii="Calibri" w:eastAsia="Calibri" w:hAnsi="Calibri" w:cs="Calibri"/>
        <w:sz w:val="18"/>
        <w:szCs w:val="18"/>
      </w:rPr>
      <w:t>поръчка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 с </w:t>
    </w:r>
    <w:proofErr w:type="spellStart"/>
    <w:r w:rsidRPr="00EA4387">
      <w:rPr>
        <w:rFonts w:ascii="Calibri" w:eastAsia="Calibri" w:hAnsi="Calibri" w:cs="Calibri"/>
        <w:sz w:val="18"/>
        <w:szCs w:val="18"/>
      </w:rPr>
      <w:t>предмет</w:t>
    </w:r>
    <w:proofErr w:type="spellEnd"/>
    <w:r w:rsidRPr="00EA4387">
      <w:rPr>
        <w:rFonts w:ascii="Calibri" w:eastAsia="Calibri" w:hAnsi="Calibri" w:cs="Calibri"/>
        <w:sz w:val="18"/>
        <w:szCs w:val="18"/>
      </w:rPr>
      <w:t xml:space="preserve">: </w:t>
    </w:r>
    <w:r>
      <w:rPr>
        <w:b/>
        <w:color w:val="000000"/>
        <w:lang w:eastAsia="bg-BG"/>
      </w:rPr>
      <w:t xml:space="preserve"> </w:t>
    </w:r>
    <w:proofErr w:type="spellStart"/>
    <w:r w:rsidRPr="00C67479">
      <w:rPr>
        <w:rFonts w:asciiTheme="minorHAnsi" w:hAnsiTheme="minorHAnsi"/>
        <w:b/>
        <w:color w:val="000000"/>
        <w:sz w:val="16"/>
        <w:szCs w:val="16"/>
        <w:lang w:eastAsia="bg-BG"/>
      </w:rPr>
      <w:t>Упражняване</w:t>
    </w:r>
    <w:proofErr w:type="spellEnd"/>
    <w:r w:rsidRPr="00C67479">
      <w:rPr>
        <w:rFonts w:asciiTheme="minorHAnsi" w:hAnsiTheme="minorHAnsi"/>
        <w:b/>
        <w:color w:val="000000"/>
        <w:sz w:val="16"/>
        <w:szCs w:val="16"/>
        <w:lang w:eastAsia="bg-BG"/>
      </w:rPr>
      <w:t xml:space="preserve"> </w:t>
    </w:r>
    <w:proofErr w:type="spellStart"/>
    <w:r w:rsidRPr="00C67479">
      <w:rPr>
        <w:rFonts w:asciiTheme="minorHAnsi" w:hAnsiTheme="minorHAnsi"/>
        <w:b/>
        <w:color w:val="000000"/>
        <w:sz w:val="16"/>
        <w:szCs w:val="16"/>
        <w:lang w:eastAsia="bg-BG"/>
      </w:rPr>
      <w:t>на</w:t>
    </w:r>
    <w:proofErr w:type="spellEnd"/>
    <w:r w:rsidRPr="00C67479">
      <w:rPr>
        <w:rFonts w:asciiTheme="minorHAnsi" w:hAnsiTheme="minorHAnsi"/>
        <w:b/>
        <w:color w:val="000000"/>
        <w:sz w:val="16"/>
        <w:szCs w:val="16"/>
        <w:lang w:eastAsia="bg-BG"/>
      </w:rPr>
      <w:t xml:space="preserve"> </w:t>
    </w:r>
    <w:proofErr w:type="spellStart"/>
    <w:r w:rsidRPr="00C67479">
      <w:rPr>
        <w:rFonts w:asciiTheme="minorHAnsi" w:hAnsiTheme="minorHAnsi"/>
        <w:b/>
        <w:color w:val="000000"/>
        <w:sz w:val="16"/>
        <w:szCs w:val="16"/>
        <w:lang w:eastAsia="bg-BG"/>
      </w:rPr>
      <w:t>строителен</w:t>
    </w:r>
    <w:proofErr w:type="spellEnd"/>
    <w:r>
      <w:rPr>
        <w:b/>
        <w:color w:val="000000"/>
        <w:sz w:val="18"/>
        <w:szCs w:val="18"/>
        <w:lang w:eastAsia="bg-BG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надзор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върху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строително-монтажни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работи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по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проекти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Община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Кочериново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,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одобрени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за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финансиране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от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ПРСР 2007-2013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през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2013г.</w:t>
    </w:r>
    <w:r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proofErr w:type="gramStart"/>
    <w:r>
      <w:rPr>
        <w:rFonts w:ascii="Calibri" w:eastAsia="Calibri" w:hAnsi="Calibri" w:cs="Calibri"/>
        <w:b/>
        <w:i/>
        <w:color w:val="000000"/>
        <w:sz w:val="16"/>
        <w:szCs w:val="16"/>
      </w:rPr>
      <w:t>със</w:t>
    </w:r>
    <w:proofErr w:type="spellEnd"/>
    <w:proofErr w:type="gramEnd"/>
    <w:r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i/>
        <w:color w:val="000000"/>
        <w:sz w:val="16"/>
        <w:szCs w:val="16"/>
      </w:rPr>
      <w:t>следните</w:t>
    </w:r>
    <w:proofErr w:type="spellEnd"/>
    <w:r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i/>
        <w:color w:val="000000"/>
        <w:sz w:val="16"/>
        <w:szCs w:val="16"/>
      </w:rPr>
      <w:t>обособени</w:t>
    </w:r>
    <w:proofErr w:type="spellEnd"/>
    <w:r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i/>
        <w:color w:val="000000"/>
        <w:sz w:val="16"/>
        <w:szCs w:val="16"/>
      </w:rPr>
      <w:t>позиции</w:t>
    </w:r>
    <w:proofErr w:type="spellEnd"/>
    <w:r>
      <w:rPr>
        <w:rFonts w:ascii="Calibri" w:eastAsia="Calibri" w:hAnsi="Calibri" w:cs="Calibri"/>
        <w:b/>
        <w:i/>
        <w:color w:val="000000"/>
        <w:sz w:val="16"/>
        <w:szCs w:val="16"/>
      </w:rPr>
      <w:t>:</w:t>
    </w:r>
    <w:r w:rsidRPr="00EA4387"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Обособена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позиция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1: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Упражняване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строителен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надзор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за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„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Строително-монтажни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работи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градски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площадни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пространства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и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читалища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в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гр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.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Кочериново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и с.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Пороминово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“;</w:t>
    </w:r>
    <w:r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Обособена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позиция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2: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Упражняване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строителен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надзор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за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обекти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„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Изграждане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модулна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ПСОВ с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довеждаща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инфраструктура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и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заустване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, с.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Стоб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,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Община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Кочериново</w:t>
    </w:r>
    <w:proofErr w:type="spellEnd"/>
    <w:proofErr w:type="gram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“ и</w:t>
    </w:r>
    <w:proofErr w:type="gram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„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Изграждане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пречиствателно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съоръжение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за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отпадни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води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от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село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Мурсалево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,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Община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Кочериново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“;</w:t>
    </w:r>
    <w:r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Обособена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позиция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3: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Упражняване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строителен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надзор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за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обект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„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Изграждане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противопожарна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кула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, с.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Пастра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,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Община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Рила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,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поземлен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имот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с </w:t>
    </w:r>
    <w:proofErr w:type="spellStart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>идентификатор</w:t>
    </w:r>
    <w:proofErr w:type="spellEnd"/>
    <w:r w:rsidRPr="00EA4387">
      <w:rPr>
        <w:rFonts w:ascii="Calibri" w:eastAsia="Calibri" w:hAnsi="Calibri" w:cs="Calibri"/>
        <w:b/>
        <w:i/>
        <w:color w:val="000000"/>
        <w:sz w:val="16"/>
        <w:szCs w:val="16"/>
      </w:rPr>
      <w:t xml:space="preserve"> № 55539.151.41“;</w:t>
    </w:r>
  </w:p>
  <w:p w:rsidR="0088190E" w:rsidRDefault="0088190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67646"/>
    <w:multiLevelType w:val="hybridMultilevel"/>
    <w:tmpl w:val="448649FC"/>
    <w:lvl w:ilvl="0" w:tplc="0402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33B67FB1"/>
    <w:multiLevelType w:val="hybridMultilevel"/>
    <w:tmpl w:val="0694BEEC"/>
    <w:lvl w:ilvl="0" w:tplc="0402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43D35"/>
    <w:rsid w:val="000C4106"/>
    <w:rsid w:val="00334FC9"/>
    <w:rsid w:val="00492434"/>
    <w:rsid w:val="00504597"/>
    <w:rsid w:val="00565C72"/>
    <w:rsid w:val="0067219B"/>
    <w:rsid w:val="006C4678"/>
    <w:rsid w:val="00773D0B"/>
    <w:rsid w:val="007A38FF"/>
    <w:rsid w:val="007B7027"/>
    <w:rsid w:val="0088190E"/>
    <w:rsid w:val="00905F1A"/>
    <w:rsid w:val="0093282F"/>
    <w:rsid w:val="00943D35"/>
    <w:rsid w:val="00992C9A"/>
    <w:rsid w:val="00AF1388"/>
    <w:rsid w:val="00B4573B"/>
    <w:rsid w:val="00B774E8"/>
    <w:rsid w:val="00BD0DBD"/>
    <w:rsid w:val="00C6161C"/>
    <w:rsid w:val="00DA0576"/>
    <w:rsid w:val="00DB60A9"/>
    <w:rsid w:val="00E6268D"/>
    <w:rsid w:val="00ED69AA"/>
    <w:rsid w:val="00FF3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line"/>
    <w:basedOn w:val="Normal"/>
    <w:rsid w:val="00773D0B"/>
    <w:pPr>
      <w:spacing w:before="100" w:beforeAutospacing="1" w:after="100" w:afterAutospacing="1"/>
    </w:pPr>
    <w:rPr>
      <w:lang w:val="bg-BG" w:eastAsia="bg-BG"/>
    </w:rPr>
  </w:style>
  <w:style w:type="paragraph" w:customStyle="1" w:styleId="Style5">
    <w:name w:val="Style5"/>
    <w:basedOn w:val="Normal"/>
    <w:rsid w:val="00773D0B"/>
    <w:pPr>
      <w:widowControl w:val="0"/>
      <w:autoSpaceDE w:val="0"/>
      <w:autoSpaceDN w:val="0"/>
      <w:adjustRightInd w:val="0"/>
      <w:spacing w:line="266" w:lineRule="exact"/>
      <w:ind w:firstLine="696"/>
      <w:jc w:val="both"/>
    </w:pPr>
    <w:rPr>
      <w:lang w:val="bg-BG" w:eastAsia="bg-BG"/>
    </w:rPr>
  </w:style>
  <w:style w:type="paragraph" w:customStyle="1" w:styleId="Style6">
    <w:name w:val="Style6"/>
    <w:basedOn w:val="Normal"/>
    <w:rsid w:val="00773D0B"/>
    <w:pPr>
      <w:widowControl w:val="0"/>
      <w:autoSpaceDE w:val="0"/>
      <w:autoSpaceDN w:val="0"/>
      <w:adjustRightInd w:val="0"/>
      <w:spacing w:line="268" w:lineRule="exact"/>
      <w:ind w:firstLine="706"/>
      <w:jc w:val="both"/>
    </w:pPr>
    <w:rPr>
      <w:lang w:val="bg-BG" w:eastAsia="bg-BG"/>
    </w:rPr>
  </w:style>
  <w:style w:type="paragraph" w:customStyle="1" w:styleId="Style11">
    <w:name w:val="Style11"/>
    <w:basedOn w:val="Normal"/>
    <w:rsid w:val="00773D0B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12">
    <w:name w:val="Style12"/>
    <w:basedOn w:val="Normal"/>
    <w:rsid w:val="00773D0B"/>
    <w:pPr>
      <w:widowControl w:val="0"/>
      <w:autoSpaceDE w:val="0"/>
      <w:autoSpaceDN w:val="0"/>
      <w:adjustRightInd w:val="0"/>
      <w:spacing w:line="269" w:lineRule="exact"/>
      <w:ind w:firstLine="715"/>
      <w:jc w:val="both"/>
    </w:pPr>
    <w:rPr>
      <w:lang w:val="bg-BG" w:eastAsia="bg-BG"/>
    </w:rPr>
  </w:style>
  <w:style w:type="paragraph" w:customStyle="1" w:styleId="Style25">
    <w:name w:val="Style25"/>
    <w:basedOn w:val="Normal"/>
    <w:rsid w:val="00773D0B"/>
    <w:pPr>
      <w:widowControl w:val="0"/>
      <w:autoSpaceDE w:val="0"/>
      <w:autoSpaceDN w:val="0"/>
      <w:adjustRightInd w:val="0"/>
      <w:spacing w:line="268" w:lineRule="exact"/>
      <w:ind w:firstLine="691"/>
      <w:jc w:val="both"/>
    </w:pPr>
    <w:rPr>
      <w:lang w:val="bg-BG" w:eastAsia="bg-BG"/>
    </w:rPr>
  </w:style>
  <w:style w:type="character" w:customStyle="1" w:styleId="FontStyle29">
    <w:name w:val="Font Style29"/>
    <w:rsid w:val="00773D0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1">
    <w:name w:val="Font Style31"/>
    <w:rsid w:val="00773D0B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rsid w:val="00773D0B"/>
    <w:rPr>
      <w:rFonts w:ascii="Times New Roman" w:hAnsi="Times New Roman" w:cs="Times New Roman" w:hint="default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819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90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8819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190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90E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line">
    <w:name w:val="firstline"/>
    <w:basedOn w:val="Normal"/>
    <w:rsid w:val="00773D0B"/>
    <w:pPr>
      <w:spacing w:before="100" w:beforeAutospacing="1" w:after="100" w:afterAutospacing="1"/>
    </w:pPr>
    <w:rPr>
      <w:lang w:val="bg-BG" w:eastAsia="bg-BG"/>
    </w:rPr>
  </w:style>
  <w:style w:type="paragraph" w:customStyle="1" w:styleId="Style5">
    <w:name w:val="Style5"/>
    <w:basedOn w:val="Normal"/>
    <w:rsid w:val="00773D0B"/>
    <w:pPr>
      <w:widowControl w:val="0"/>
      <w:autoSpaceDE w:val="0"/>
      <w:autoSpaceDN w:val="0"/>
      <w:adjustRightInd w:val="0"/>
      <w:spacing w:line="266" w:lineRule="exact"/>
      <w:ind w:firstLine="696"/>
      <w:jc w:val="both"/>
    </w:pPr>
    <w:rPr>
      <w:lang w:val="bg-BG" w:eastAsia="bg-BG"/>
    </w:rPr>
  </w:style>
  <w:style w:type="paragraph" w:customStyle="1" w:styleId="Style6">
    <w:name w:val="Style6"/>
    <w:basedOn w:val="Normal"/>
    <w:rsid w:val="00773D0B"/>
    <w:pPr>
      <w:widowControl w:val="0"/>
      <w:autoSpaceDE w:val="0"/>
      <w:autoSpaceDN w:val="0"/>
      <w:adjustRightInd w:val="0"/>
      <w:spacing w:line="268" w:lineRule="exact"/>
      <w:ind w:firstLine="706"/>
      <w:jc w:val="both"/>
    </w:pPr>
    <w:rPr>
      <w:lang w:val="bg-BG" w:eastAsia="bg-BG"/>
    </w:rPr>
  </w:style>
  <w:style w:type="paragraph" w:customStyle="1" w:styleId="Style11">
    <w:name w:val="Style11"/>
    <w:basedOn w:val="Normal"/>
    <w:rsid w:val="00773D0B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12">
    <w:name w:val="Style12"/>
    <w:basedOn w:val="Normal"/>
    <w:rsid w:val="00773D0B"/>
    <w:pPr>
      <w:widowControl w:val="0"/>
      <w:autoSpaceDE w:val="0"/>
      <w:autoSpaceDN w:val="0"/>
      <w:adjustRightInd w:val="0"/>
      <w:spacing w:line="269" w:lineRule="exact"/>
      <w:ind w:firstLine="715"/>
      <w:jc w:val="both"/>
    </w:pPr>
    <w:rPr>
      <w:lang w:val="bg-BG" w:eastAsia="bg-BG"/>
    </w:rPr>
  </w:style>
  <w:style w:type="paragraph" w:customStyle="1" w:styleId="Style25">
    <w:name w:val="Style25"/>
    <w:basedOn w:val="Normal"/>
    <w:rsid w:val="00773D0B"/>
    <w:pPr>
      <w:widowControl w:val="0"/>
      <w:autoSpaceDE w:val="0"/>
      <w:autoSpaceDN w:val="0"/>
      <w:adjustRightInd w:val="0"/>
      <w:spacing w:line="268" w:lineRule="exact"/>
      <w:ind w:firstLine="691"/>
      <w:jc w:val="both"/>
    </w:pPr>
    <w:rPr>
      <w:lang w:val="bg-BG" w:eastAsia="bg-BG"/>
    </w:rPr>
  </w:style>
  <w:style w:type="character" w:customStyle="1" w:styleId="FontStyle29">
    <w:name w:val="Font Style29"/>
    <w:rsid w:val="00773D0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1">
    <w:name w:val="Font Style31"/>
    <w:rsid w:val="00773D0B"/>
    <w:rPr>
      <w:rFonts w:ascii="Times New Roman" w:hAnsi="Times New Roman" w:cs="Times New Roman" w:hint="default"/>
      <w:sz w:val="20"/>
      <w:szCs w:val="20"/>
    </w:rPr>
  </w:style>
  <w:style w:type="character" w:customStyle="1" w:styleId="FontStyle33">
    <w:name w:val="Font Style33"/>
    <w:rsid w:val="00773D0B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2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1108</Words>
  <Characters>6317</Characters>
  <Application>Microsoft Office Word</Application>
  <DocSecurity>0</DocSecurity>
  <Lines>52</Lines>
  <Paragraphs>14</Paragraphs>
  <ScaleCrop>false</ScaleCrop>
  <Company/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Тодоров</cp:lastModifiedBy>
  <cp:revision>3</cp:revision>
  <dcterms:created xsi:type="dcterms:W3CDTF">2014-03-10T15:34:00Z</dcterms:created>
  <dcterms:modified xsi:type="dcterms:W3CDTF">2014-08-27T09:32:00Z</dcterms:modified>
</cp:coreProperties>
</file>